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RahmenBriefkopf"/>
        <w:framePr w:w="10219" w:h="865" w:hSpace="141" w:vSpace="0" w:wrap="around" w:vAnchor="text" w:hAnchor="page" w:x="1012" w:y="-1124" w:anchorLock="0"/>
        <w:rPr>
          <w:noProof w:val="0"/>
        </w:rPr>
      </w:pPr>
      <w:bookmarkStart w:id="0" w:name="Briefkopf"/>
      <w:bookmarkStart w:id="1" w:name="_GoBack"/>
      <w:bookmarkEnd w:id="0"/>
      <w:bookmarkEnd w:id="1"/>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10345"/>
      </w:tblGrid>
      <w:tr>
        <w:tc>
          <w:tcPr>
            <w:tcW w:w="10345" w:type="dxa"/>
            <w:tcBorders>
              <w:top w:val="nil"/>
            </w:tcBorders>
          </w:tcPr>
          <w:p>
            <w:pPr>
              <w:pStyle w:val="Zeilenabstand"/>
              <w:rPr>
                <w:rFonts w:ascii="Arial" w:hAnsi="Arial"/>
                <w:b/>
                <w:noProof w:val="0"/>
                <w:sz w:val="24"/>
                <w:szCs w:val="24"/>
              </w:rPr>
            </w:pPr>
            <w:r>
              <w:rPr>
                <w:rFonts w:ascii="Arial" w:hAnsi="Arial"/>
                <w:b/>
                <w:noProof w:val="0"/>
                <w:sz w:val="24"/>
                <w:szCs w:val="24"/>
              </w:rPr>
              <w:t xml:space="preserve">Beiblatt zum Arztbericht </w:t>
            </w:r>
            <w:r>
              <w:rPr>
                <w:rFonts w:ascii="Arial" w:hAnsi="Arial" w:cs="Arial"/>
                <w:b/>
                <w:sz w:val="24"/>
                <w:szCs w:val="24"/>
              </w:rPr>
              <w:t>(Psychotherapie als MM nach Art. 12 IVG)</w:t>
            </w:r>
            <w:r>
              <w:rPr>
                <w:rFonts w:ascii="Arial" w:hAnsi="Arial"/>
                <w:b/>
                <w:noProof w:val="0"/>
                <w:sz w:val="24"/>
                <w:szCs w:val="24"/>
              </w:rPr>
              <w:t xml:space="preserve"> vom </w:t>
            </w:r>
            <w:r>
              <w:rPr>
                <w:rFonts w:ascii="Arial" w:hAnsi="Arial"/>
                <w:b/>
                <w:noProof w:val="0"/>
                <w:sz w:val="24"/>
                <w:szCs w:val="24"/>
              </w:rPr>
              <w:fldChar w:fldCharType="begin">
                <w:ffData>
                  <w:name w:val="Text6"/>
                  <w:enabled/>
                  <w:calcOnExit w:val="0"/>
                  <w:textInput/>
                </w:ffData>
              </w:fldChar>
            </w:r>
            <w:bookmarkStart w:id="2" w:name="Text6"/>
            <w:r>
              <w:rPr>
                <w:rFonts w:ascii="Arial" w:hAnsi="Arial"/>
                <w:b/>
                <w:noProof w:val="0"/>
                <w:sz w:val="24"/>
                <w:szCs w:val="24"/>
              </w:rPr>
              <w:instrText xml:space="preserve"> FORMTEXT </w:instrText>
            </w:r>
            <w:r>
              <w:rPr>
                <w:rFonts w:ascii="Arial" w:hAnsi="Arial"/>
                <w:b/>
                <w:noProof w:val="0"/>
                <w:sz w:val="24"/>
                <w:szCs w:val="24"/>
              </w:rPr>
            </w:r>
            <w:r>
              <w:rPr>
                <w:rFonts w:ascii="Arial" w:hAnsi="Arial"/>
                <w:b/>
                <w:noProof w:val="0"/>
                <w:sz w:val="24"/>
                <w:szCs w:val="24"/>
              </w:rPr>
              <w:fldChar w:fldCharType="separate"/>
            </w:r>
            <w:r>
              <w:rPr>
                <w:rFonts w:ascii="Arial" w:hAnsi="Arial"/>
                <w:b/>
                <w:sz w:val="24"/>
                <w:szCs w:val="24"/>
              </w:rPr>
              <w:t> </w:t>
            </w:r>
            <w:r>
              <w:rPr>
                <w:rFonts w:ascii="Arial" w:hAnsi="Arial"/>
                <w:b/>
                <w:sz w:val="24"/>
                <w:szCs w:val="24"/>
              </w:rPr>
              <w:t> </w:t>
            </w:r>
            <w:r>
              <w:rPr>
                <w:rFonts w:ascii="Arial" w:hAnsi="Arial"/>
                <w:b/>
                <w:sz w:val="24"/>
                <w:szCs w:val="24"/>
              </w:rPr>
              <w:t> </w:t>
            </w:r>
            <w:r>
              <w:rPr>
                <w:rFonts w:ascii="Arial" w:hAnsi="Arial"/>
                <w:b/>
                <w:sz w:val="24"/>
                <w:szCs w:val="24"/>
              </w:rPr>
              <w:t> </w:t>
            </w:r>
            <w:r>
              <w:rPr>
                <w:rFonts w:ascii="Arial" w:hAnsi="Arial"/>
                <w:b/>
                <w:sz w:val="24"/>
                <w:szCs w:val="24"/>
              </w:rPr>
              <w:t> </w:t>
            </w:r>
            <w:r>
              <w:rPr>
                <w:rFonts w:ascii="Arial" w:hAnsi="Arial"/>
                <w:b/>
                <w:noProof w:val="0"/>
                <w:sz w:val="24"/>
                <w:szCs w:val="24"/>
              </w:rPr>
              <w:fldChar w:fldCharType="end"/>
            </w:r>
            <w:bookmarkEnd w:id="2"/>
          </w:p>
        </w:tc>
      </w:tr>
      <w:tr>
        <w:tc>
          <w:tcPr>
            <w:tcW w:w="10345" w:type="dxa"/>
            <w:tcBorders>
              <w:bottom w:val="nil"/>
            </w:tcBorders>
          </w:tcPr>
          <w:p>
            <w:pPr>
              <w:pStyle w:val="Zeilenabstand"/>
              <w:rPr>
                <w:rFonts w:ascii="Arial" w:hAnsi="Arial"/>
                <w:noProof w:val="0"/>
                <w:sz w:val="28"/>
              </w:rPr>
            </w:pPr>
          </w:p>
        </w:tc>
      </w:tr>
    </w:tbl>
    <w:p>
      <w:pPr>
        <w:rPr>
          <w:vanish/>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tc>
          <w:tcPr>
            <w:tcW w:w="10206" w:type="dxa"/>
          </w:tcPr>
          <w:p>
            <w:pPr>
              <w:pStyle w:val="RahmenFusszeile"/>
              <w:framePr w:h="680" w:hRule="exact" w:wrap="notBeside" w:hAnchor="page" w:x="1016" w:y="15815"/>
              <w:jc w:val="left"/>
              <w:rPr>
                <w:noProof w:val="0"/>
                <w:sz w:val="12"/>
                <w:lang w:val="fr-CH"/>
              </w:rPr>
            </w:pPr>
            <w:r>
              <w:rPr>
                <w:noProof w:val="0"/>
                <w:sz w:val="12"/>
                <w:lang w:val="fr-CH"/>
              </w:rPr>
              <w:t>102J-6</w:t>
            </w:r>
          </w:p>
        </w:tc>
      </w:tr>
    </w:tbl>
    <w:p>
      <w:pPr>
        <w:rPr>
          <w:vanish/>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8574"/>
      </w:tblGrid>
      <w:tr>
        <w:trPr>
          <w:cantSplit/>
        </w:trPr>
        <w:tc>
          <w:tcPr>
            <w:tcW w:w="1771" w:type="dxa"/>
            <w:tcBorders>
              <w:top w:val="nil"/>
              <w:left w:val="nil"/>
              <w:bottom w:val="nil"/>
              <w:right w:val="nil"/>
            </w:tcBorders>
          </w:tcPr>
          <w:p>
            <w:pPr>
              <w:pStyle w:val="Auflistung"/>
              <w:rPr>
                <w:noProof w:val="0"/>
                <w:sz w:val="20"/>
              </w:rPr>
            </w:pPr>
            <w:r>
              <w:rPr>
                <w:noProof w:val="0"/>
                <w:sz w:val="20"/>
              </w:rPr>
              <w:t>Empfänger:</w:t>
            </w:r>
          </w:p>
        </w:tc>
        <w:tc>
          <w:tcPr>
            <w:tcW w:w="8574" w:type="dxa"/>
            <w:tcBorders>
              <w:top w:val="nil"/>
              <w:left w:val="nil"/>
              <w:bottom w:val="nil"/>
              <w:right w:val="nil"/>
            </w:tcBorders>
          </w:tcPr>
          <w:p>
            <w:pPr>
              <w:pStyle w:val="VariablenundText"/>
              <w:rPr>
                <w:rFonts w:ascii="Arial" w:hAnsi="Arial" w:cs="Arial"/>
                <w:noProof w:val="0"/>
                <w:sz w:val="20"/>
              </w:rPr>
            </w:pPr>
            <w:r>
              <w:rPr>
                <w:rFonts w:ascii="Arial" w:hAnsi="Arial" w:cs="Arial"/>
                <w:noProof w:val="0"/>
                <w:sz w:val="20"/>
              </w:rPr>
              <w:fldChar w:fldCharType="begin">
                <w:ffData>
                  <w:name w:val="Text1"/>
                  <w:enabled/>
                  <w:calcOnExit w:val="0"/>
                  <w:textInput/>
                </w:ffData>
              </w:fldChar>
            </w:r>
            <w:bookmarkStart w:id="3" w:name="Text1"/>
            <w:r>
              <w:rPr>
                <w:rFonts w:ascii="Arial" w:hAnsi="Arial" w:cs="Arial"/>
                <w:noProof w:val="0"/>
                <w:sz w:val="20"/>
              </w:rPr>
              <w:instrText xml:space="preserve"> FORMTEXT </w:instrText>
            </w:r>
            <w:r>
              <w:rPr>
                <w:rFonts w:ascii="Arial" w:hAnsi="Arial" w:cs="Arial"/>
                <w:noProof w:val="0"/>
                <w:sz w:val="20"/>
              </w:rPr>
            </w:r>
            <w:r>
              <w:rPr>
                <w:rFonts w:ascii="Arial" w:hAnsi="Arial" w:cs="Arial"/>
                <w:noProof w:val="0"/>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noProof w:val="0"/>
                <w:sz w:val="20"/>
              </w:rPr>
              <w:fldChar w:fldCharType="end"/>
            </w:r>
            <w:bookmarkEnd w:id="3"/>
          </w:p>
        </w:tc>
      </w:tr>
      <w:tr>
        <w:trPr>
          <w:cantSplit/>
        </w:trPr>
        <w:tc>
          <w:tcPr>
            <w:tcW w:w="1771" w:type="dxa"/>
            <w:tcBorders>
              <w:top w:val="nil"/>
              <w:left w:val="nil"/>
              <w:bottom w:val="nil"/>
              <w:right w:val="nil"/>
            </w:tcBorders>
          </w:tcPr>
          <w:p>
            <w:pPr>
              <w:pStyle w:val="Auflistung"/>
              <w:rPr>
                <w:noProof w:val="0"/>
                <w:sz w:val="20"/>
              </w:rPr>
            </w:pPr>
          </w:p>
        </w:tc>
        <w:tc>
          <w:tcPr>
            <w:tcW w:w="8574" w:type="dxa"/>
            <w:tcBorders>
              <w:top w:val="nil"/>
              <w:left w:val="nil"/>
              <w:bottom w:val="nil"/>
              <w:right w:val="nil"/>
            </w:tcBorders>
          </w:tcPr>
          <w:p>
            <w:pPr>
              <w:pStyle w:val="VariablenundText"/>
              <w:rPr>
                <w:rFonts w:ascii="Arial" w:hAnsi="Arial" w:cs="Arial"/>
                <w:b/>
                <w:noProof w:val="0"/>
                <w:sz w:val="20"/>
              </w:rPr>
            </w:pPr>
          </w:p>
        </w:tc>
      </w:tr>
      <w:tr>
        <w:trPr>
          <w:cantSplit/>
        </w:trPr>
        <w:tc>
          <w:tcPr>
            <w:tcW w:w="1771" w:type="dxa"/>
            <w:tcBorders>
              <w:top w:val="nil"/>
              <w:left w:val="nil"/>
              <w:bottom w:val="nil"/>
              <w:right w:val="nil"/>
            </w:tcBorders>
          </w:tcPr>
          <w:p>
            <w:pPr>
              <w:pStyle w:val="Auflistung"/>
              <w:rPr>
                <w:noProof w:val="0"/>
                <w:sz w:val="20"/>
              </w:rPr>
            </w:pPr>
            <w:r>
              <w:rPr>
                <w:noProof w:val="0"/>
                <w:sz w:val="20"/>
              </w:rPr>
              <w:t>Versicherter:</w:t>
            </w:r>
          </w:p>
        </w:tc>
        <w:tc>
          <w:tcPr>
            <w:tcW w:w="8574" w:type="dxa"/>
            <w:tcBorders>
              <w:top w:val="nil"/>
              <w:left w:val="nil"/>
              <w:bottom w:val="nil"/>
              <w:right w:val="nil"/>
            </w:tcBorders>
          </w:tcPr>
          <w:p>
            <w:pPr>
              <w:pStyle w:val="VariablenundText"/>
              <w:rPr>
                <w:rFonts w:ascii="Arial" w:hAnsi="Arial" w:cs="Arial"/>
                <w:b/>
                <w:noProof w:val="0"/>
                <w:sz w:val="20"/>
              </w:rPr>
            </w:pPr>
            <w:r>
              <w:rPr>
                <w:rFonts w:ascii="Arial" w:hAnsi="Arial" w:cs="Arial"/>
                <w:b/>
                <w:noProof w:val="0"/>
                <w:sz w:val="20"/>
              </w:rPr>
              <w:fldChar w:fldCharType="begin">
                <w:ffData>
                  <w:name w:val="Text2"/>
                  <w:enabled/>
                  <w:calcOnExit w:val="0"/>
                  <w:textInput/>
                </w:ffData>
              </w:fldChar>
            </w:r>
            <w:bookmarkStart w:id="4" w:name="Text2"/>
            <w:r>
              <w:rPr>
                <w:rFonts w:ascii="Arial" w:hAnsi="Arial" w:cs="Arial"/>
                <w:b/>
                <w:noProof w:val="0"/>
                <w:sz w:val="20"/>
              </w:rPr>
              <w:instrText xml:space="preserve"> FORMTEXT </w:instrText>
            </w:r>
            <w:r>
              <w:rPr>
                <w:rFonts w:ascii="Arial" w:hAnsi="Arial" w:cs="Arial"/>
                <w:b/>
                <w:noProof w:val="0"/>
                <w:sz w:val="20"/>
              </w:rPr>
            </w:r>
            <w:r>
              <w:rPr>
                <w:rFonts w:ascii="Arial" w:hAnsi="Arial" w:cs="Arial"/>
                <w:b/>
                <w:noProof w:val="0"/>
                <w:sz w:val="20"/>
              </w:rPr>
              <w:fldChar w:fldCharType="separate"/>
            </w:r>
            <w:r>
              <w:rPr>
                <w:rFonts w:ascii="Arial" w:hAnsi="Arial" w:cs="Arial"/>
                <w:b/>
                <w:sz w:val="20"/>
              </w:rPr>
              <w:t> </w:t>
            </w:r>
            <w:r>
              <w:rPr>
                <w:rFonts w:ascii="Arial" w:hAnsi="Arial" w:cs="Arial"/>
                <w:b/>
                <w:sz w:val="20"/>
              </w:rPr>
              <w:t> </w:t>
            </w:r>
            <w:r>
              <w:rPr>
                <w:rFonts w:ascii="Arial" w:hAnsi="Arial" w:cs="Arial"/>
                <w:b/>
                <w:sz w:val="20"/>
              </w:rPr>
              <w:t> </w:t>
            </w:r>
            <w:r>
              <w:rPr>
                <w:rFonts w:ascii="Arial" w:hAnsi="Arial" w:cs="Arial"/>
                <w:b/>
                <w:sz w:val="20"/>
              </w:rPr>
              <w:t> </w:t>
            </w:r>
            <w:r>
              <w:rPr>
                <w:rFonts w:ascii="Arial" w:hAnsi="Arial" w:cs="Arial"/>
                <w:b/>
                <w:sz w:val="20"/>
              </w:rPr>
              <w:t> </w:t>
            </w:r>
            <w:r>
              <w:rPr>
                <w:rFonts w:ascii="Arial" w:hAnsi="Arial" w:cs="Arial"/>
                <w:b/>
                <w:noProof w:val="0"/>
                <w:sz w:val="20"/>
              </w:rPr>
              <w:fldChar w:fldCharType="end"/>
            </w:r>
            <w:bookmarkEnd w:id="4"/>
          </w:p>
        </w:tc>
      </w:tr>
      <w:tr>
        <w:trPr>
          <w:cantSplit/>
        </w:trPr>
        <w:tc>
          <w:tcPr>
            <w:tcW w:w="1771" w:type="dxa"/>
            <w:tcBorders>
              <w:top w:val="nil"/>
              <w:left w:val="nil"/>
              <w:bottom w:val="nil"/>
              <w:right w:val="nil"/>
            </w:tcBorders>
          </w:tcPr>
          <w:p>
            <w:pPr>
              <w:pStyle w:val="Auflistung"/>
              <w:rPr>
                <w:noProof w:val="0"/>
              </w:rPr>
            </w:pPr>
          </w:p>
        </w:tc>
        <w:tc>
          <w:tcPr>
            <w:tcW w:w="8574" w:type="dxa"/>
            <w:tcBorders>
              <w:top w:val="nil"/>
              <w:left w:val="nil"/>
              <w:bottom w:val="nil"/>
              <w:right w:val="nil"/>
            </w:tcBorders>
          </w:tcPr>
          <w:p>
            <w:pPr>
              <w:pStyle w:val="VariablenundText"/>
              <w:rPr>
                <w:noProof w:val="0"/>
              </w:rPr>
            </w:pPr>
          </w:p>
        </w:tc>
      </w:tr>
    </w:tbl>
    <w:p>
      <w:pPr>
        <w:jc w:val="both"/>
        <w:rPr>
          <w:rFonts w:ascii="Arial" w:hAnsi="Arial" w:cs="Arial"/>
        </w:rPr>
      </w:pPr>
    </w:p>
    <w:p>
      <w:pPr>
        <w:jc w:val="both"/>
        <w:rPr>
          <w:rFonts w:ascii="Arial" w:hAnsi="Arial" w:cs="Arial"/>
        </w:rPr>
      </w:pPr>
      <w:r>
        <w:rPr>
          <w:rFonts w:ascii="Arial" w:hAnsi="Arial" w:cs="Arial"/>
        </w:rPr>
        <w:t xml:space="preserve">Kostengutsprachen für MM nach Art. 12 IVG können nur erfolgen, wenn die Behandlung </w:t>
      </w:r>
      <w:r>
        <w:rPr>
          <w:rFonts w:ascii="Arial" w:hAnsi="Arial" w:cs="Arial"/>
          <w:b/>
        </w:rPr>
        <w:t>unmittelbar auf den schulischen (beruflichen) Fähigkeitsbereich gerichtet</w:t>
      </w:r>
      <w:r>
        <w:rPr>
          <w:rFonts w:ascii="Arial" w:hAnsi="Arial" w:cs="Arial"/>
        </w:rPr>
        <w:t xml:space="preserve"> ist, </w:t>
      </w:r>
      <w:r>
        <w:rPr>
          <w:rFonts w:ascii="Arial" w:hAnsi="Arial" w:cs="Arial"/>
          <w:b/>
        </w:rPr>
        <w:t>nicht aber</w:t>
      </w:r>
      <w:r>
        <w:rPr>
          <w:rFonts w:ascii="Arial" w:hAnsi="Arial" w:cs="Arial"/>
        </w:rPr>
        <w:t xml:space="preserve">, wenn die Therapie eine </w:t>
      </w:r>
      <w:r>
        <w:rPr>
          <w:rFonts w:ascii="Arial" w:hAnsi="Arial" w:cs="Arial"/>
          <w:b/>
        </w:rPr>
        <w:t>Behandlung des Leidens an sich</w:t>
      </w:r>
      <w:r>
        <w:rPr>
          <w:rFonts w:ascii="Arial" w:hAnsi="Arial" w:cs="Arial"/>
        </w:rPr>
        <w:t xml:space="preserve"> darstellt. Ausgeschlossen ist die psychotherapeutische Behandlung von Krankheiten, die nicht explizit auf die schulische/berufliche Integration gerichtet ist. (Zur Klärung dieser Fragen sind eine relevante Sozialanamnese und Differentialdiagnostik in der Berichterstattung unabkömmlich.)</w:t>
      </w:r>
    </w:p>
    <w:p>
      <w:pPr>
        <w:jc w:val="both"/>
        <w:rPr>
          <w:rFonts w:ascii="Arial" w:hAnsi="Arial" w:cs="Arial"/>
        </w:rPr>
      </w:pPr>
      <w:r>
        <w:rPr>
          <w:rFonts w:ascii="Arial" w:hAnsi="Arial" w:cs="Arial"/>
        </w:rPr>
        <w:t xml:space="preserve">Zudem muss eine </w:t>
      </w:r>
      <w:r>
        <w:rPr>
          <w:rFonts w:ascii="Arial" w:hAnsi="Arial" w:cs="Arial"/>
          <w:b/>
        </w:rPr>
        <w:t>intensive fachgerechte Behandlung</w:t>
      </w:r>
      <w:r>
        <w:rPr>
          <w:rFonts w:ascii="Arial" w:hAnsi="Arial" w:cs="Arial"/>
        </w:rPr>
        <w:t xml:space="preserve"> (Psychotherapie) von der </w:t>
      </w:r>
      <w:r>
        <w:rPr>
          <w:rFonts w:ascii="Arial" w:hAnsi="Arial" w:cs="Arial"/>
          <w:b/>
        </w:rPr>
        <w:t>Dauer eines Jahres</w:t>
      </w:r>
      <w:r>
        <w:rPr>
          <w:rFonts w:ascii="Arial" w:hAnsi="Arial" w:cs="Arial"/>
        </w:rPr>
        <w:t xml:space="preserve"> erfolgt sein.</w:t>
      </w:r>
    </w:p>
    <w:p>
      <w:pPr>
        <w:pStyle w:val="Listenabsatz"/>
        <w:spacing w:after="0"/>
        <w:ind w:left="0"/>
        <w:jc w:val="both"/>
        <w:rPr>
          <w:rFonts w:ascii="Arial" w:eastAsia="Calibri" w:hAnsi="Arial" w:cs="Arial"/>
          <w:lang w:eastAsia="en-US"/>
        </w:rPr>
      </w:pPr>
    </w:p>
    <w:p>
      <w:pPr>
        <w:jc w:val="both"/>
        <w:rPr>
          <w:rFonts w:ascii="Arial" w:hAnsi="Arial" w:cs="Arial"/>
        </w:rPr>
      </w:pPr>
      <w:r>
        <w:rPr>
          <w:rFonts w:ascii="Arial" w:hAnsi="Arial" w:cs="Arial"/>
        </w:rPr>
        <w:t>Eine Kostengutsprache für Medizinische Massnahmen (MM) kann nicht erfolgen, wenn es sich um ein schweres Leiden handelt, das einer längeren Behandlung bedarf und keine sichere Prognose gestellt werden kann.</w:t>
      </w:r>
    </w:p>
    <w:p>
      <w:pPr>
        <w:jc w:val="both"/>
        <w:rPr>
          <w:rFonts w:ascii="Arial" w:hAnsi="Arial" w:cs="Arial"/>
        </w:rPr>
      </w:pPr>
    </w:p>
    <w:p>
      <w:pPr>
        <w:jc w:val="both"/>
        <w:rPr>
          <w:rFonts w:ascii="Arial" w:hAnsi="Arial" w:cs="Arial"/>
        </w:rPr>
      </w:pPr>
      <w:r>
        <w:rPr>
          <w:rFonts w:ascii="Arial" w:hAnsi="Arial" w:cs="Arial"/>
        </w:rPr>
        <w:t>Das Vorliegen eines erworbenen psychischen Leidens muss mit grosser Wahrscheinlichkeit zu einem erheblichen, schwer korrigierbaren stabilen Defekt führen, der die spätere Ausbildung und Erwerbstätigkeit wesentlich behindert oder verunmöglicht.</w:t>
      </w:r>
    </w:p>
    <w:p>
      <w:pPr>
        <w:jc w:val="both"/>
        <w:rPr>
          <w:rFonts w:ascii="Arial" w:hAnsi="Arial" w:cs="Arial"/>
        </w:rPr>
      </w:pPr>
    </w:p>
    <w:p>
      <w:pPr>
        <w:pStyle w:val="Listenabsatz"/>
        <w:spacing w:after="240"/>
        <w:ind w:left="0"/>
        <w:jc w:val="both"/>
        <w:rPr>
          <w:rFonts w:ascii="Arial" w:eastAsia="Calibri" w:hAnsi="Arial" w:cs="Arial"/>
          <w:b/>
          <w:lang w:eastAsia="en-US"/>
        </w:rPr>
      </w:pPr>
      <w:r>
        <w:rPr>
          <w:rFonts w:ascii="Arial" w:eastAsia="Calibri" w:hAnsi="Arial" w:cs="Arial"/>
          <w:b/>
          <w:lang w:eastAsia="en-US"/>
        </w:rPr>
        <w:t>Die oben stehend aufgeführten Kriterien zur Beurteilung der IV-Leistungspflicht müssen anhand des Arztberichtes für Versicherte vor dem 20. Altersjahr und den Beilagen schlüssig beurteilt werden können. Zur Abgrenzung der IV-Leistungspflicht sind folgende Zusatzfragen zu beantworten:</w:t>
      </w:r>
    </w:p>
    <w:p>
      <w:pPr>
        <w:numPr>
          <w:ilvl w:val="0"/>
          <w:numId w:val="21"/>
        </w:numPr>
        <w:spacing w:before="120"/>
        <w:ind w:left="426" w:hanging="426"/>
        <w:jc w:val="both"/>
        <w:rPr>
          <w:rFonts w:ascii="Arial" w:hAnsi="Arial" w:cs="Arial"/>
        </w:rPr>
      </w:pPr>
      <w:r>
        <w:rPr>
          <w:rFonts w:ascii="Arial" w:hAnsi="Arial" w:cs="Arial"/>
        </w:rPr>
        <w:t>Beginn, Intensität und Dauer der durchgeführten Behandlung (Behandlungsplan, Sitzungsfrequenz)?</w:t>
      </w:r>
    </w:p>
    <w:p>
      <w:pPr>
        <w:spacing w:before="120"/>
        <w:ind w:left="426"/>
        <w:jc w:val="both"/>
        <w:rPr>
          <w:rFonts w:ascii="Arial" w:hAnsi="Arial" w:cs="Arial"/>
        </w:rPr>
      </w:pPr>
      <w:r>
        <w:rPr>
          <w:rFonts w:ascii="Arial" w:hAnsi="Arial" w:cs="Arial"/>
        </w:rPr>
        <w:fldChar w:fldCharType="begin">
          <w:ffData>
            <w:name w:val="Text3"/>
            <w:enabled/>
            <w:calcOnExit w:val="0"/>
            <w:textInput/>
          </w:ffData>
        </w:fldChar>
      </w:r>
      <w:bookmarkStart w:id="5"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pPr>
        <w:spacing w:before="120"/>
        <w:ind w:left="426"/>
        <w:jc w:val="both"/>
        <w:rPr>
          <w:rFonts w:ascii="Arial" w:hAnsi="Arial" w:cs="Arial"/>
        </w:rPr>
      </w:pPr>
    </w:p>
    <w:p>
      <w:pPr>
        <w:spacing w:before="120"/>
        <w:ind w:left="426"/>
        <w:jc w:val="both"/>
        <w:rPr>
          <w:rFonts w:ascii="Arial" w:hAnsi="Arial" w:cs="Arial"/>
        </w:rPr>
      </w:pPr>
    </w:p>
    <w:p>
      <w:pPr>
        <w:spacing w:before="120"/>
        <w:ind w:left="426"/>
        <w:jc w:val="both"/>
        <w:rPr>
          <w:rFonts w:ascii="Arial" w:hAnsi="Arial" w:cs="Arial"/>
        </w:rPr>
      </w:pPr>
    </w:p>
    <w:p>
      <w:pPr>
        <w:numPr>
          <w:ilvl w:val="0"/>
          <w:numId w:val="21"/>
        </w:numPr>
        <w:spacing w:before="120"/>
        <w:ind w:left="426" w:hanging="426"/>
        <w:jc w:val="both"/>
        <w:rPr>
          <w:rFonts w:ascii="Arial" w:hAnsi="Arial" w:cs="Arial"/>
        </w:rPr>
      </w:pPr>
      <w:r>
        <w:rPr>
          <w:rFonts w:ascii="Arial" w:hAnsi="Arial" w:cs="Arial"/>
        </w:rPr>
        <w:t>Art der durchgeführten Therapie (inkl. Medikation)?</w:t>
      </w:r>
    </w:p>
    <w:p>
      <w:pPr>
        <w:spacing w:before="120"/>
        <w:ind w:left="426"/>
        <w:jc w:val="both"/>
        <w:rPr>
          <w:rFonts w:ascii="Arial" w:hAnsi="Arial" w:cs="Arial"/>
        </w:rPr>
      </w:pPr>
      <w:r>
        <w:rPr>
          <w:rFonts w:ascii="Arial" w:hAnsi="Arial" w:cs="Arial"/>
        </w:rPr>
        <w:fldChar w:fldCharType="begin">
          <w:ffData>
            <w:name w:val="Text4"/>
            <w:enabled/>
            <w:calcOnExit w:val="0"/>
            <w:textInput/>
          </w:ffData>
        </w:fldChar>
      </w:r>
      <w:bookmarkStart w:id="6"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p>
      <w:pPr>
        <w:spacing w:before="120"/>
        <w:ind w:left="426"/>
        <w:jc w:val="both"/>
        <w:rPr>
          <w:rFonts w:ascii="Arial" w:hAnsi="Arial" w:cs="Arial"/>
        </w:rPr>
      </w:pPr>
    </w:p>
    <w:p>
      <w:pPr>
        <w:spacing w:before="120"/>
        <w:ind w:left="426"/>
        <w:jc w:val="both"/>
        <w:rPr>
          <w:rFonts w:ascii="Arial" w:hAnsi="Arial" w:cs="Arial"/>
        </w:rPr>
      </w:pPr>
    </w:p>
    <w:p>
      <w:pPr>
        <w:spacing w:before="120"/>
        <w:ind w:left="426"/>
        <w:jc w:val="both"/>
        <w:rPr>
          <w:rFonts w:ascii="Arial" w:hAnsi="Arial" w:cs="Arial"/>
        </w:rPr>
      </w:pPr>
    </w:p>
    <w:p>
      <w:pPr>
        <w:numPr>
          <w:ilvl w:val="0"/>
          <w:numId w:val="21"/>
        </w:numPr>
        <w:spacing w:before="120"/>
        <w:ind w:left="426" w:hanging="426"/>
        <w:jc w:val="both"/>
        <w:rPr>
          <w:rFonts w:ascii="Arial" w:hAnsi="Arial" w:cs="Arial"/>
        </w:rPr>
      </w:pPr>
      <w:r>
        <w:rPr>
          <w:rFonts w:ascii="Arial" w:hAnsi="Arial" w:cs="Arial"/>
        </w:rPr>
        <w:t>Inwiefern lässt sich eine zuverlässige Prognose stellen?</w:t>
      </w:r>
    </w:p>
    <w:p>
      <w:pPr>
        <w:spacing w:before="120"/>
        <w:ind w:left="426"/>
        <w:jc w:val="both"/>
        <w:rPr>
          <w:rFonts w:ascii="Arial" w:hAnsi="Arial" w:cs="Arial"/>
        </w:rPr>
      </w:pPr>
      <w:r>
        <w:rPr>
          <w:rFonts w:ascii="Arial" w:hAnsi="Arial" w:cs="Arial"/>
        </w:rPr>
        <w:fldChar w:fldCharType="begin">
          <w:ffData>
            <w:name w:val="Text5"/>
            <w:enabled/>
            <w:calcOnExit w:val="0"/>
            <w:textInput/>
          </w:ffData>
        </w:fldChar>
      </w:r>
      <w:bookmarkStart w:id="7"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pPr>
        <w:spacing w:before="120"/>
        <w:ind w:left="426"/>
        <w:jc w:val="both"/>
        <w:rPr>
          <w:rFonts w:ascii="Arial" w:hAnsi="Arial" w:cs="Arial"/>
        </w:rPr>
      </w:pPr>
    </w:p>
    <w:p>
      <w:pPr>
        <w:spacing w:before="120"/>
        <w:ind w:left="426"/>
        <w:jc w:val="both"/>
        <w:rPr>
          <w:rFonts w:ascii="Arial" w:hAnsi="Arial" w:cs="Arial"/>
        </w:rPr>
      </w:pPr>
    </w:p>
    <w:p>
      <w:pPr>
        <w:spacing w:before="120"/>
        <w:ind w:left="426"/>
        <w:jc w:val="both"/>
        <w:rPr>
          <w:rFonts w:ascii="Arial" w:hAnsi="Arial" w:cs="Arial"/>
        </w:rPr>
      </w:pPr>
    </w:p>
    <w:p>
      <w:pPr>
        <w:jc w:val="both"/>
        <w:rPr>
          <w:rFonts w:ascii="Arial" w:hAnsi="Arial" w:cs="Arial"/>
        </w:rPr>
      </w:pPr>
      <w:r>
        <w:rPr>
          <w:rFonts w:ascii="Arial" w:hAnsi="Arial" w:cs="Arial"/>
          <w:b/>
          <w:sz w:val="28"/>
          <w:szCs w:val="28"/>
        </w:rPr>
        <w:t>Eckpunkte</w:t>
      </w:r>
      <w:r>
        <w:rPr>
          <w:rFonts w:ascii="Arial" w:hAnsi="Arial" w:cs="Arial"/>
        </w:rPr>
        <w:t xml:space="preserve"> zur Berichterstattung gegenüber der IV-Stelle Basel-Stadt bei Medizinischen Massnahmen (MM) in Zusammenhang mit GG 404, GG 405/406 und Psychotherapie nach Art. 12 IVG</w:t>
      </w:r>
    </w:p>
    <w:p>
      <w:pPr>
        <w:jc w:val="both"/>
        <w:rPr>
          <w:rFonts w:ascii="Arial" w:hAnsi="Arial" w:cs="Arial"/>
        </w:rPr>
      </w:pPr>
    </w:p>
    <w:p>
      <w:pPr>
        <w:jc w:val="both"/>
        <w:rPr>
          <w:rFonts w:ascii="Arial" w:hAnsi="Arial" w:cs="Arial"/>
          <w:sz w:val="24"/>
          <w:szCs w:val="24"/>
          <w:u w:val="single"/>
        </w:rPr>
      </w:pPr>
      <w:r>
        <w:rPr>
          <w:rFonts w:ascii="Arial" w:hAnsi="Arial" w:cs="Arial"/>
          <w:sz w:val="24"/>
          <w:szCs w:val="24"/>
          <w:u w:val="single"/>
        </w:rPr>
        <w:lastRenderedPageBreak/>
        <w:t>Allgemein:</w:t>
      </w:r>
    </w:p>
    <w:p>
      <w:pPr>
        <w:pStyle w:val="Listenabsatz"/>
        <w:numPr>
          <w:ilvl w:val="0"/>
          <w:numId w:val="22"/>
        </w:numPr>
        <w:spacing w:after="0"/>
        <w:jc w:val="both"/>
        <w:rPr>
          <w:rFonts w:ascii="Arial" w:hAnsi="Arial" w:cs="Arial"/>
          <w:lang w:val="de-DE"/>
        </w:rPr>
      </w:pPr>
      <w:r>
        <w:rPr>
          <w:rFonts w:ascii="Arial" w:hAnsi="Arial" w:cs="Arial"/>
          <w:lang w:val="de-DE"/>
        </w:rPr>
        <w:t>Die Berichterstattung gegenüber der IV-Stelle soll zusammen mit der Stellungnahme des Regionalen Ärztlichen Dienstes (RAD) und/oder des Konsiliararztes die Beurteilung der IV-Leistungspflicht und insbesondere die Abgrenzung zu anderen Leistungserbringern (Krankenkasse, Kanton) ermöglichen.</w:t>
      </w:r>
    </w:p>
    <w:p>
      <w:pPr>
        <w:pStyle w:val="Listenabsatz"/>
        <w:numPr>
          <w:ilvl w:val="0"/>
          <w:numId w:val="22"/>
        </w:numPr>
        <w:spacing w:after="0"/>
        <w:jc w:val="both"/>
        <w:rPr>
          <w:rFonts w:ascii="Arial" w:hAnsi="Arial" w:cs="Arial"/>
          <w:lang w:val="de-DE"/>
        </w:rPr>
      </w:pPr>
      <w:r>
        <w:rPr>
          <w:rFonts w:ascii="Arial" w:hAnsi="Arial" w:cs="Arial"/>
          <w:lang w:val="de-DE"/>
        </w:rPr>
        <w:t>Das Leiden und dessen Behandlung müssen deshalb aus fachärztlicher Sicht aufgrund der Berichterstattung nachvollziehbar sein. Dies insbesondere durch</w:t>
      </w:r>
    </w:p>
    <w:p>
      <w:pPr>
        <w:pStyle w:val="Listenabsatz"/>
        <w:numPr>
          <w:ilvl w:val="0"/>
          <w:numId w:val="23"/>
        </w:numPr>
        <w:spacing w:after="0"/>
        <w:ind w:left="993" w:hanging="284"/>
        <w:jc w:val="both"/>
        <w:rPr>
          <w:rFonts w:ascii="Arial" w:hAnsi="Arial" w:cs="Arial"/>
          <w:lang w:val="de-DE"/>
        </w:rPr>
      </w:pPr>
      <w:r>
        <w:rPr>
          <w:rFonts w:ascii="Arial" w:hAnsi="Arial" w:cs="Arial"/>
          <w:lang w:val="de-DE"/>
        </w:rPr>
        <w:t>Aufführen der Diagnosen (u.a. nach ICD-10 und/oder DSM-IV)</w:t>
      </w:r>
    </w:p>
    <w:p>
      <w:pPr>
        <w:pStyle w:val="Listenabsatz"/>
        <w:numPr>
          <w:ilvl w:val="0"/>
          <w:numId w:val="23"/>
        </w:numPr>
        <w:spacing w:after="0"/>
        <w:ind w:left="993" w:hanging="284"/>
        <w:jc w:val="both"/>
        <w:rPr>
          <w:rFonts w:ascii="Arial" w:hAnsi="Arial" w:cs="Arial"/>
          <w:lang w:val="de-DE"/>
        </w:rPr>
      </w:pPr>
      <w:r>
        <w:rPr>
          <w:rFonts w:ascii="Arial" w:hAnsi="Arial" w:cs="Arial"/>
          <w:lang w:val="de-DE"/>
        </w:rPr>
        <w:t>Darstellung einer persönlichen Anamnese und einer Sozialanamnese</w:t>
      </w:r>
    </w:p>
    <w:p>
      <w:pPr>
        <w:pStyle w:val="Listenabsatz"/>
        <w:numPr>
          <w:ilvl w:val="0"/>
          <w:numId w:val="23"/>
        </w:numPr>
        <w:spacing w:after="0"/>
        <w:ind w:left="993" w:hanging="284"/>
        <w:jc w:val="both"/>
        <w:rPr>
          <w:rFonts w:ascii="Arial" w:hAnsi="Arial" w:cs="Arial"/>
          <w:lang w:val="de-DE"/>
        </w:rPr>
      </w:pPr>
      <w:r>
        <w:rPr>
          <w:rFonts w:ascii="Arial" w:hAnsi="Arial" w:cs="Arial"/>
          <w:lang w:val="de-DE"/>
        </w:rPr>
        <w:t>Der Aetiologie</w:t>
      </w:r>
    </w:p>
    <w:p>
      <w:pPr>
        <w:pStyle w:val="Listenabsatz"/>
        <w:numPr>
          <w:ilvl w:val="0"/>
          <w:numId w:val="23"/>
        </w:numPr>
        <w:spacing w:after="0"/>
        <w:ind w:left="993" w:hanging="284"/>
        <w:jc w:val="both"/>
        <w:rPr>
          <w:rFonts w:ascii="Arial" w:hAnsi="Arial" w:cs="Arial"/>
          <w:lang w:val="de-DE"/>
        </w:rPr>
      </w:pPr>
      <w:r>
        <w:rPr>
          <w:rFonts w:ascii="Arial" w:hAnsi="Arial" w:cs="Arial"/>
          <w:lang w:val="de-DE"/>
        </w:rPr>
        <w:t>Darlegung der Therapieindikation und der Therapiemethode sowie zeitlichen Angaben zur Abklärungsphase und Therapiebeginn, resp. der Therapiedauer, dem Setting und der Prognose.</w:t>
      </w:r>
    </w:p>
    <w:p>
      <w:pPr>
        <w:jc w:val="both"/>
        <w:rPr>
          <w:rFonts w:ascii="Arial" w:hAnsi="Arial" w:cs="Arial"/>
        </w:rPr>
      </w:pPr>
    </w:p>
    <w:p>
      <w:pPr>
        <w:jc w:val="both"/>
        <w:rPr>
          <w:rFonts w:ascii="Arial" w:hAnsi="Arial" w:cs="Arial"/>
          <w:sz w:val="24"/>
          <w:szCs w:val="24"/>
          <w:u w:val="single"/>
        </w:rPr>
      </w:pPr>
      <w:r>
        <w:rPr>
          <w:rFonts w:ascii="Arial" w:hAnsi="Arial" w:cs="Arial"/>
          <w:sz w:val="24"/>
          <w:szCs w:val="24"/>
          <w:u w:val="single"/>
        </w:rPr>
        <w:t>Im Speziellen:</w:t>
      </w:r>
    </w:p>
    <w:p>
      <w:pPr>
        <w:jc w:val="both"/>
        <w:rPr>
          <w:rFonts w:ascii="Arial" w:hAnsi="Arial" w:cs="Arial"/>
        </w:rPr>
      </w:pPr>
    </w:p>
    <w:p>
      <w:pPr>
        <w:jc w:val="both"/>
        <w:rPr>
          <w:rFonts w:ascii="Arial" w:hAnsi="Arial" w:cs="Arial"/>
          <w:b/>
        </w:rPr>
      </w:pPr>
      <w:r>
        <w:rPr>
          <w:rFonts w:ascii="Arial" w:hAnsi="Arial" w:cs="Arial"/>
          <w:b/>
        </w:rPr>
        <w:t>Zu GG 404:</w:t>
      </w:r>
    </w:p>
    <w:p>
      <w:pPr>
        <w:jc w:val="both"/>
        <w:rPr>
          <w:rFonts w:ascii="Arial" w:hAnsi="Arial" w:cs="Arial"/>
        </w:rPr>
      </w:pPr>
      <w:r>
        <w:rPr>
          <w:rFonts w:ascii="Arial" w:hAnsi="Arial" w:cs="Arial"/>
        </w:rPr>
        <w:t>Abklärungen eines GG 404 sind nach den Richtlinien des Medizinischen Leitfadens zum GG 404 (IV-Rundschreiben Nr. 298) mittels validierter Testverfahren durchzuführen. Die IV-Stelle benutzt für die Berichteinholung den IV-Arztbericht für Minderjährige und ein zusätzliches, gestützt auf die erwähnten Richtlinien ausgearbeitetes Beiblatt. Werden die gemäss Richtlinien erforderlichen Angaben zur Klärung des Leistungsanspruches nicht geliefert, ist mit einer individuellen Nachfrage der IV-Stelle zu rechnen.</w:t>
      </w:r>
    </w:p>
    <w:p>
      <w:pPr>
        <w:jc w:val="both"/>
        <w:rPr>
          <w:rFonts w:ascii="Arial" w:hAnsi="Arial" w:cs="Arial"/>
        </w:rPr>
      </w:pPr>
    </w:p>
    <w:p>
      <w:pPr>
        <w:jc w:val="both"/>
        <w:rPr>
          <w:rFonts w:ascii="Arial" w:hAnsi="Arial" w:cs="Arial"/>
          <w:b/>
        </w:rPr>
      </w:pPr>
      <w:r>
        <w:rPr>
          <w:rFonts w:ascii="Arial" w:hAnsi="Arial" w:cs="Arial"/>
          <w:b/>
        </w:rPr>
        <w:t>Zu GG 405:</w:t>
      </w:r>
    </w:p>
    <w:p>
      <w:pPr>
        <w:jc w:val="both"/>
        <w:rPr>
          <w:rFonts w:ascii="Arial" w:hAnsi="Arial" w:cs="Arial"/>
        </w:rPr>
      </w:pPr>
      <w:r>
        <w:rPr>
          <w:rFonts w:ascii="Arial" w:hAnsi="Arial" w:cs="Arial"/>
        </w:rPr>
        <w:t>Als GG 405 kann eine tiefgreifende Entwicklungsstörung anerkannt werden, wenn gemäss ICD-10 die Kriterien nach F84.0, F84.1 oder F84.5 erfüllt sind und autismusspezifische Symptome vor dem vollendeten 5. Lebensjahr festgestellt wurden und dokumentiert sind.</w:t>
      </w:r>
    </w:p>
    <w:p>
      <w:pPr>
        <w:jc w:val="both"/>
        <w:rPr>
          <w:rFonts w:ascii="Arial" w:hAnsi="Arial" w:cs="Arial"/>
        </w:rPr>
      </w:pPr>
    </w:p>
    <w:p>
      <w:pPr>
        <w:jc w:val="both"/>
        <w:rPr>
          <w:rFonts w:ascii="Arial" w:hAnsi="Arial" w:cs="Arial"/>
          <w:b/>
        </w:rPr>
      </w:pPr>
      <w:r>
        <w:rPr>
          <w:rFonts w:ascii="Arial" w:hAnsi="Arial" w:cs="Arial"/>
          <w:b/>
        </w:rPr>
        <w:t>Psychotherapie nach Art. 12 IVG:</w:t>
      </w:r>
    </w:p>
    <w:p>
      <w:pPr>
        <w:jc w:val="both"/>
        <w:rPr>
          <w:rFonts w:ascii="Arial" w:hAnsi="Arial" w:cs="Arial"/>
        </w:rPr>
      </w:pPr>
      <w:r>
        <w:rPr>
          <w:rFonts w:ascii="Arial" w:hAnsi="Arial" w:cs="Arial"/>
        </w:rPr>
        <w:t>Kostengutsprache für MM nach Art. 12 IVG können nur erfolgen, wenn die Behandlung unmittelbar auf den schulischen (beruflichen) Fähigkeitsbereich gerichtet ist, nicht aber, wenn die Therapie eine Behandlung des Leidens an sich darstellt.</w:t>
      </w:r>
    </w:p>
    <w:p>
      <w:pPr>
        <w:jc w:val="both"/>
        <w:rPr>
          <w:rFonts w:ascii="Arial" w:hAnsi="Arial" w:cs="Arial"/>
        </w:rPr>
      </w:pPr>
      <w:r>
        <w:rPr>
          <w:rFonts w:ascii="Arial" w:hAnsi="Arial" w:cs="Arial"/>
        </w:rPr>
        <w:t>Zudem muss eine intensive fachgerechte Behandlung (Psychotherapie) von der Dauer eines Jahres erfolgt sein.</w:t>
      </w:r>
    </w:p>
    <w:p>
      <w:pPr>
        <w:jc w:val="both"/>
        <w:rPr>
          <w:rFonts w:ascii="Arial" w:hAnsi="Arial" w:cs="Arial"/>
        </w:rPr>
      </w:pPr>
      <w:r>
        <w:rPr>
          <w:rFonts w:ascii="Arial" w:hAnsi="Arial" w:cs="Arial"/>
        </w:rPr>
        <w:t>Die IV-Stelle benutzt für die Berichteinholung den IV-Arztbericht für Minderjährige und ein zusätzliches, spezifisch auf Fragestellungen zu MM nach Art. 12 IVG ausgearbeitetes Beiblatt.</w:t>
      </w:r>
    </w:p>
    <w:p>
      <w:pPr>
        <w:jc w:val="both"/>
        <w:rPr>
          <w:rFonts w:ascii="Arial" w:hAnsi="Arial" w:cs="Arial"/>
        </w:rPr>
      </w:pPr>
    </w:p>
    <w:p>
      <w:pPr>
        <w:jc w:val="both"/>
        <w:rPr>
          <w:rFonts w:ascii="Arial" w:hAnsi="Arial" w:cs="Arial"/>
        </w:rPr>
      </w:pPr>
      <w:r>
        <w:rPr>
          <w:rFonts w:ascii="Arial" w:hAnsi="Arial" w:cs="Arial"/>
        </w:rPr>
        <w:t>Eine Kostengutsprache für Medizinische Massnahmen (MM) kann nicht erfolgen, wenn es sich um ein schweres Leiden handelt, das einer längeren Behandlung bedarf und keine sichere Prognose gestellt werden kann.</w:t>
      </w:r>
    </w:p>
    <w:p>
      <w:pPr>
        <w:jc w:val="both"/>
        <w:rPr>
          <w:rFonts w:ascii="Arial" w:hAnsi="Arial" w:cs="Arial"/>
        </w:rPr>
      </w:pPr>
    </w:p>
    <w:p>
      <w:pPr>
        <w:jc w:val="both"/>
        <w:rPr>
          <w:rFonts w:ascii="Arial" w:hAnsi="Arial" w:cs="Arial"/>
        </w:rPr>
      </w:pPr>
    </w:p>
    <w:sectPr>
      <w:headerReference w:type="first" r:id="rId7"/>
      <w:footerReference w:type="first" r:id="rId8"/>
      <w:pgSz w:w="11906" w:h="16838" w:code="9"/>
      <w:pgMar w:top="1701" w:right="680" w:bottom="1247" w:left="1021" w:header="567" w:footer="34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CR_B">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tc>
        <w:tcPr>
          <w:tcW w:w="10206" w:type="dxa"/>
        </w:tcPr>
        <w:p>
          <w:pPr>
            <w:pStyle w:val="Auflistung"/>
            <w:jc w:val="center"/>
            <w:rPr>
              <w:sz w:val="18"/>
            </w:rPr>
          </w:pPr>
          <w:r>
            <w:rPr>
              <w:sz w:val="18"/>
            </w:rPr>
            <w:t xml:space="preserve">Seite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c>
    </w:tr>
  </w:tbl>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51C"/>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067E4E0C"/>
    <w:multiLevelType w:val="hybridMultilevel"/>
    <w:tmpl w:val="B84829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EE3FA9"/>
    <w:multiLevelType w:val="singleLevel"/>
    <w:tmpl w:val="FA66BD82"/>
    <w:lvl w:ilvl="0">
      <w:start w:val="5"/>
      <w:numFmt w:val="bullet"/>
      <w:lvlText w:val="-"/>
      <w:lvlJc w:val="left"/>
      <w:pPr>
        <w:tabs>
          <w:tab w:val="num" w:pos="930"/>
        </w:tabs>
        <w:ind w:left="930" w:hanging="360"/>
      </w:pPr>
      <w:rPr>
        <w:rFonts w:hint="default"/>
      </w:rPr>
    </w:lvl>
  </w:abstractNum>
  <w:abstractNum w:abstractNumId="3" w15:restartNumberingAfterBreak="0">
    <w:nsid w:val="0E370A53"/>
    <w:multiLevelType w:val="multilevel"/>
    <w:tmpl w:val="F00CA4B0"/>
    <w:lvl w:ilvl="0">
      <w:start w:val="1"/>
      <w:numFmt w:val="decimal"/>
      <w:lvlText w:val="%1."/>
      <w:lvlJc w:val="left"/>
      <w:pPr>
        <w:tabs>
          <w:tab w:val="num" w:pos="360"/>
        </w:tabs>
        <w:ind w:left="360" w:hanging="360"/>
      </w:pPr>
    </w:lvl>
    <w:lvl w:ilvl="1">
      <w:start w:val="1"/>
      <w:numFmt w:val="decimal"/>
      <w:lvlText w:val="%1.%2."/>
      <w:lvlJc w:val="left"/>
      <w:pPr>
        <w:tabs>
          <w:tab w:val="num" w:pos="360"/>
        </w:tabs>
        <w:ind w:left="357" w:hanging="357"/>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DC97140"/>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21B85AA5"/>
    <w:multiLevelType w:val="singleLevel"/>
    <w:tmpl w:val="0407000F"/>
    <w:lvl w:ilvl="0">
      <w:start w:val="1"/>
      <w:numFmt w:val="decimal"/>
      <w:lvlText w:val="%1."/>
      <w:lvlJc w:val="left"/>
      <w:pPr>
        <w:tabs>
          <w:tab w:val="num" w:pos="360"/>
        </w:tabs>
        <w:ind w:left="360" w:hanging="360"/>
      </w:pPr>
      <w:rPr>
        <w:rFonts w:hint="default"/>
      </w:rPr>
    </w:lvl>
  </w:abstractNum>
  <w:abstractNum w:abstractNumId="6" w15:restartNumberingAfterBreak="0">
    <w:nsid w:val="26F9653B"/>
    <w:multiLevelType w:val="singleLevel"/>
    <w:tmpl w:val="E04A0B74"/>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2B5819EE"/>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2CEE61B0"/>
    <w:multiLevelType w:val="hybridMultilevel"/>
    <w:tmpl w:val="B76428C8"/>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5B06E81"/>
    <w:multiLevelType w:val="singleLevel"/>
    <w:tmpl w:val="04070017"/>
    <w:lvl w:ilvl="0">
      <w:start w:val="1"/>
      <w:numFmt w:val="lowerLetter"/>
      <w:lvlText w:val="%1)"/>
      <w:lvlJc w:val="left"/>
      <w:pPr>
        <w:tabs>
          <w:tab w:val="num" w:pos="360"/>
        </w:tabs>
        <w:ind w:left="360" w:hanging="360"/>
      </w:pPr>
      <w:rPr>
        <w:rFonts w:hint="default"/>
      </w:rPr>
    </w:lvl>
  </w:abstractNum>
  <w:abstractNum w:abstractNumId="10" w15:restartNumberingAfterBreak="0">
    <w:nsid w:val="3A23214A"/>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3A9222B1"/>
    <w:multiLevelType w:val="singleLevel"/>
    <w:tmpl w:val="04070017"/>
    <w:lvl w:ilvl="0">
      <w:start w:val="1"/>
      <w:numFmt w:val="lowerLetter"/>
      <w:lvlText w:val="%1)"/>
      <w:lvlJc w:val="left"/>
      <w:pPr>
        <w:tabs>
          <w:tab w:val="num" w:pos="360"/>
        </w:tabs>
        <w:ind w:left="360" w:hanging="360"/>
      </w:pPr>
    </w:lvl>
  </w:abstractNum>
  <w:abstractNum w:abstractNumId="12" w15:restartNumberingAfterBreak="0">
    <w:nsid w:val="417B3B1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F055E5"/>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4F5C378B"/>
    <w:multiLevelType w:val="multilevel"/>
    <w:tmpl w:val="F00CA4B0"/>
    <w:lvl w:ilvl="0">
      <w:start w:val="1"/>
      <w:numFmt w:val="decimal"/>
      <w:lvlText w:val="%1."/>
      <w:lvlJc w:val="left"/>
      <w:pPr>
        <w:tabs>
          <w:tab w:val="num" w:pos="360"/>
        </w:tabs>
        <w:ind w:left="360" w:hanging="360"/>
      </w:pPr>
    </w:lvl>
    <w:lvl w:ilvl="1">
      <w:start w:val="1"/>
      <w:numFmt w:val="decimal"/>
      <w:lvlText w:val="%1.%2."/>
      <w:lvlJc w:val="left"/>
      <w:pPr>
        <w:tabs>
          <w:tab w:val="num" w:pos="360"/>
        </w:tabs>
        <w:ind w:left="357" w:hanging="357"/>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4242EFF"/>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5C70027A"/>
    <w:multiLevelType w:val="singleLevel"/>
    <w:tmpl w:val="417EDBD4"/>
    <w:lvl w:ilvl="0">
      <w:start w:val="4"/>
      <w:numFmt w:val="decimal"/>
      <w:lvlText w:val="%1. "/>
      <w:legacy w:legacy="1" w:legacySpace="0" w:legacyIndent="283"/>
      <w:lvlJc w:val="left"/>
      <w:pPr>
        <w:ind w:left="283" w:hanging="283"/>
      </w:pPr>
      <w:rPr>
        <w:rFonts w:ascii="Arial" w:hAnsi="Arial" w:hint="default"/>
        <w:b w:val="0"/>
        <w:i w:val="0"/>
        <w:sz w:val="24"/>
        <w:u w:val="none"/>
      </w:rPr>
    </w:lvl>
  </w:abstractNum>
  <w:abstractNum w:abstractNumId="17" w15:restartNumberingAfterBreak="0">
    <w:nsid w:val="5F034A72"/>
    <w:multiLevelType w:val="singleLevel"/>
    <w:tmpl w:val="E04A0B74"/>
    <w:lvl w:ilvl="0">
      <w:start w:val="1"/>
      <w:numFmt w:val="bullet"/>
      <w:lvlText w:val=""/>
      <w:lvlJc w:val="left"/>
      <w:pPr>
        <w:tabs>
          <w:tab w:val="num" w:pos="360"/>
        </w:tabs>
        <w:ind w:left="340" w:hanging="340"/>
      </w:pPr>
      <w:rPr>
        <w:rFonts w:ascii="Symbol" w:hAnsi="Symbol" w:hint="default"/>
      </w:rPr>
    </w:lvl>
  </w:abstractNum>
  <w:abstractNum w:abstractNumId="18" w15:restartNumberingAfterBreak="0">
    <w:nsid w:val="68FA1F13"/>
    <w:multiLevelType w:val="hybridMultilevel"/>
    <w:tmpl w:val="B3A665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3A1299D"/>
    <w:multiLevelType w:val="multilevel"/>
    <w:tmpl w:val="864212A6"/>
    <w:lvl w:ilvl="0">
      <w:start w:val="1"/>
      <w:numFmt w:val="decimal"/>
      <w:lvlText w:val="%1."/>
      <w:lvlJc w:val="left"/>
      <w:pPr>
        <w:tabs>
          <w:tab w:val="num" w:pos="360"/>
        </w:tabs>
        <w:ind w:left="360" w:hanging="360"/>
      </w:pPr>
    </w:lvl>
    <w:lvl w:ilvl="1">
      <w:start w:val="1"/>
      <w:numFmt w:val="decimal"/>
      <w:lvlText w:val="%1.%2."/>
      <w:lvlJc w:val="left"/>
      <w:pPr>
        <w:tabs>
          <w:tab w:val="num" w:pos="360"/>
        </w:tabs>
        <w:ind w:left="357" w:hanging="357"/>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A3102F3"/>
    <w:multiLevelType w:val="singleLevel"/>
    <w:tmpl w:val="0407000F"/>
    <w:lvl w:ilvl="0">
      <w:start w:val="1"/>
      <w:numFmt w:val="decimal"/>
      <w:lvlText w:val="%1."/>
      <w:lvlJc w:val="left"/>
      <w:pPr>
        <w:tabs>
          <w:tab w:val="num" w:pos="360"/>
        </w:tabs>
        <w:ind w:left="360" w:hanging="360"/>
      </w:pPr>
      <w:rPr>
        <w:rFonts w:hint="default"/>
      </w:rPr>
    </w:lvl>
  </w:abstractNum>
  <w:abstractNum w:abstractNumId="21" w15:restartNumberingAfterBreak="0">
    <w:nsid w:val="7F23402D"/>
    <w:multiLevelType w:val="singleLevel"/>
    <w:tmpl w:val="0407000F"/>
    <w:lvl w:ilvl="0">
      <w:start w:val="1"/>
      <w:numFmt w:val="decimal"/>
      <w:lvlText w:val="%1."/>
      <w:lvlJc w:val="left"/>
      <w:pPr>
        <w:tabs>
          <w:tab w:val="num" w:pos="360"/>
        </w:tabs>
        <w:ind w:left="360" w:hanging="360"/>
      </w:pPr>
      <w:rPr>
        <w:rFonts w:hint="default"/>
      </w:rPr>
    </w:lvl>
  </w:abstractNum>
  <w:abstractNum w:abstractNumId="22" w15:restartNumberingAfterBreak="0">
    <w:nsid w:val="7F367F6C"/>
    <w:multiLevelType w:val="singleLevel"/>
    <w:tmpl w:val="04070017"/>
    <w:lvl w:ilvl="0">
      <w:start w:val="1"/>
      <w:numFmt w:val="lowerLetter"/>
      <w:lvlText w:val="%1)"/>
      <w:lvlJc w:val="left"/>
      <w:pPr>
        <w:tabs>
          <w:tab w:val="num" w:pos="360"/>
        </w:tabs>
        <w:ind w:left="360" w:hanging="360"/>
      </w:pPr>
      <w:rPr>
        <w:rFonts w:hint="default"/>
      </w:rPr>
    </w:lvl>
  </w:abstractNum>
  <w:num w:numId="1">
    <w:abstractNumId w:val="7"/>
  </w:num>
  <w:num w:numId="2">
    <w:abstractNumId w:val="21"/>
  </w:num>
  <w:num w:numId="3">
    <w:abstractNumId w:val="12"/>
  </w:num>
  <w:num w:numId="4">
    <w:abstractNumId w:val="11"/>
  </w:num>
  <w:num w:numId="5">
    <w:abstractNumId w:val="0"/>
  </w:num>
  <w:num w:numId="6">
    <w:abstractNumId w:val="20"/>
  </w:num>
  <w:num w:numId="7">
    <w:abstractNumId w:val="4"/>
  </w:num>
  <w:num w:numId="8">
    <w:abstractNumId w:val="6"/>
  </w:num>
  <w:num w:numId="9">
    <w:abstractNumId w:val="17"/>
  </w:num>
  <w:num w:numId="10">
    <w:abstractNumId w:val="13"/>
  </w:num>
  <w:num w:numId="11">
    <w:abstractNumId w:val="5"/>
  </w:num>
  <w:num w:numId="12">
    <w:abstractNumId w:val="22"/>
  </w:num>
  <w:num w:numId="13">
    <w:abstractNumId w:val="9"/>
  </w:num>
  <w:num w:numId="14">
    <w:abstractNumId w:val="2"/>
  </w:num>
  <w:num w:numId="15">
    <w:abstractNumId w:val="16"/>
  </w:num>
  <w:num w:numId="16">
    <w:abstractNumId w:val="15"/>
  </w:num>
  <w:num w:numId="17">
    <w:abstractNumId w:val="10"/>
  </w:num>
  <w:num w:numId="18">
    <w:abstractNumId w:val="14"/>
  </w:num>
  <w:num w:numId="19">
    <w:abstractNumId w:val="3"/>
  </w:num>
  <w:num w:numId="20">
    <w:abstractNumId w:val="19"/>
  </w:num>
  <w:num w:numId="21">
    <w:abstractNumId w:val="1"/>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18114A75-C734-47A9-92E0-D24AE18F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lang w:val="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hmenOCR-Code">
    <w:name w:val="Rahmen OCR-Code"/>
    <w:pPr>
      <w:framePr w:w="3402" w:h="340" w:hRule="exact" w:hSpace="142" w:vSpace="142" w:wrap="notBeside" w:vAnchor="page" w:hAnchor="margin" w:y="568" w:anchorLock="1"/>
    </w:pPr>
    <w:rPr>
      <w:rFonts w:ascii="OCR_B" w:hAnsi="OCR_B"/>
      <w:noProof/>
      <w:sz w:val="22"/>
    </w:rPr>
  </w:style>
  <w:style w:type="paragraph" w:customStyle="1" w:styleId="RahmenBriefkopf">
    <w:name w:val="Rahmen Briefkopf"/>
    <w:pPr>
      <w:framePr w:w="5103" w:h="1985" w:hRule="exact" w:hSpace="142" w:vSpace="142" w:wrap="notBeside" w:vAnchor="page" w:hAnchor="margin" w:xAlign="right" w:y="568" w:anchorLock="1"/>
      <w:shd w:val="solid" w:color="FFFFFF" w:fill="FFFFFF"/>
    </w:pPr>
    <w:rPr>
      <w:noProof/>
      <w:sz w:val="22"/>
    </w:rPr>
  </w:style>
  <w:style w:type="paragraph" w:customStyle="1" w:styleId="AbsatzUnterberschrift">
    <w:name w:val="Absatz Unterüberschrift"/>
    <w:basedOn w:val="AbsatzStandard"/>
    <w:pPr>
      <w:spacing w:before="60"/>
    </w:pPr>
    <w:rPr>
      <w:u w:val="single"/>
    </w:rPr>
  </w:style>
  <w:style w:type="paragraph" w:customStyle="1" w:styleId="RahmenVersandart">
    <w:name w:val="Rahmen Versandart"/>
    <w:pPr>
      <w:framePr w:w="4536" w:hSpace="142" w:vSpace="142" w:wrap="notBeside" w:vAnchor="page" w:hAnchor="margin" w:y="2382" w:anchorLock="1"/>
      <w:shd w:val="solid" w:color="FFFFFF" w:fill="FFFFFF"/>
      <w:suppressAutoHyphens/>
    </w:pPr>
    <w:rPr>
      <w:b/>
      <w:noProof/>
      <w:sz w:val="22"/>
    </w:rPr>
  </w:style>
  <w:style w:type="paragraph" w:customStyle="1" w:styleId="VariablenundText">
    <w:name w:val="Variablen und Text"/>
    <w:pPr>
      <w:spacing w:line="220" w:lineRule="exact"/>
    </w:pPr>
    <w:rPr>
      <w:noProof/>
      <w:sz w:val="22"/>
    </w:rPr>
  </w:style>
  <w:style w:type="paragraph" w:customStyle="1" w:styleId="AbsatzVariable">
    <w:name w:val="Absatz Variable"/>
    <w:rPr>
      <w:sz w:val="22"/>
    </w:rPr>
  </w:style>
  <w:style w:type="paragraph" w:customStyle="1" w:styleId="Auflistung">
    <w:name w:val="Auflistung"/>
    <w:pPr>
      <w:spacing w:line="220" w:lineRule="exact"/>
    </w:pPr>
    <w:rPr>
      <w:rFonts w:ascii="Arial" w:hAnsi="Arial"/>
      <w:noProof/>
      <w:sz w:val="16"/>
    </w:rPr>
  </w:style>
  <w:style w:type="paragraph" w:customStyle="1" w:styleId="RahmenFusszeile">
    <w:name w:val="Rahmen Fusszeile"/>
    <w:pPr>
      <w:framePr w:w="10206" w:h="454" w:hRule="exact" w:hSpace="142" w:vSpace="142" w:wrap="notBeside" w:vAnchor="page" w:hAnchor="margin" w:y="15820" w:anchorLock="1"/>
      <w:suppressAutoHyphens/>
      <w:spacing w:before="20"/>
      <w:jc w:val="center"/>
    </w:pPr>
    <w:rPr>
      <w:rFonts w:ascii="Arial" w:hAnsi="Arial"/>
      <w:noProof/>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Beschriftung">
    <w:name w:val="caption"/>
    <w:basedOn w:val="Standard"/>
    <w:next w:val="Standard"/>
    <w:qFormat/>
    <w:pPr>
      <w:spacing w:before="120" w:after="120"/>
    </w:pPr>
    <w:rPr>
      <w:b/>
    </w:rPr>
  </w:style>
  <w:style w:type="paragraph" w:customStyle="1" w:styleId="RahmenTitel">
    <w:name w:val="Rahmen Titel"/>
    <w:pPr>
      <w:framePr w:w="4536" w:h="369" w:hRule="exact" w:hSpace="142" w:vSpace="142" w:wrap="notBeside" w:vAnchor="page" w:hAnchor="margin" w:y="1135" w:anchorLock="1"/>
    </w:pPr>
    <w:rPr>
      <w:b/>
      <w:noProof/>
      <w:sz w:val="32"/>
    </w:rPr>
  </w:style>
  <w:style w:type="paragraph" w:customStyle="1" w:styleId="RahmenEmpfnger">
    <w:name w:val="Rahmen Empfänger"/>
    <w:basedOn w:val="Standard"/>
    <w:pPr>
      <w:framePr w:w="4820" w:h="2041" w:hRule="exact" w:hSpace="142" w:vSpace="142" w:wrap="notBeside" w:vAnchor="page" w:hAnchor="margin" w:y="2723" w:anchorLock="1"/>
    </w:pPr>
    <w:rPr>
      <w:noProof/>
    </w:rPr>
  </w:style>
  <w:style w:type="paragraph" w:customStyle="1" w:styleId="VariablemitAutoKorrektur">
    <w:name w:val="Variable mit AutoKorrektur"/>
    <w:pPr>
      <w:framePr w:w="5103" w:h="1928" w:hRule="exact" w:hSpace="142" w:vSpace="142" w:wrap="notBeside" w:vAnchor="page" w:hAnchor="page" w:x="6125" w:y="2728" w:anchorLock="1"/>
      <w:spacing w:line="240" w:lineRule="exact"/>
    </w:pPr>
    <w:rPr>
      <w:sz w:val="22"/>
    </w:rPr>
  </w:style>
  <w:style w:type="paragraph" w:customStyle="1" w:styleId="RahmenInfo-Block">
    <w:name w:val="Rahmen Info-Block"/>
    <w:pPr>
      <w:framePr w:w="5103" w:h="1928" w:hRule="exact" w:hSpace="142" w:vSpace="142" w:wrap="notBeside" w:vAnchor="page" w:hAnchor="margin" w:xAlign="right" w:y="2723"/>
      <w:spacing w:line="240" w:lineRule="exact"/>
    </w:pPr>
    <w:rPr>
      <w:rFonts w:ascii="Arial" w:hAnsi="Arial"/>
      <w:noProof/>
      <w:sz w:val="16"/>
    </w:rPr>
  </w:style>
  <w:style w:type="paragraph" w:customStyle="1" w:styleId="Zeilenabstand">
    <w:name w:val="Zeilenabstand"/>
    <w:rPr>
      <w:noProof/>
      <w:sz w:val="22"/>
    </w:rPr>
  </w:style>
  <w:style w:type="paragraph" w:customStyle="1" w:styleId="RahmenKopie">
    <w:name w:val="Rahmen Kopie"/>
    <w:pPr>
      <w:framePr w:w="4536" w:hSpace="142" w:vSpace="142" w:wrap="notBeside" w:vAnchor="page" w:hAnchor="margin" w:y="1702" w:anchorLock="1"/>
    </w:pPr>
    <w:rPr>
      <w:b/>
      <w:noProof/>
      <w:color w:val="808080"/>
      <w:sz w:val="28"/>
    </w:rPr>
  </w:style>
  <w:style w:type="paragraph" w:customStyle="1" w:styleId="AbsatzStandard">
    <w:name w:val="Absatz Standard"/>
    <w:pPr>
      <w:spacing w:after="60"/>
    </w:pPr>
    <w:rPr>
      <w:noProof/>
      <w:sz w:val="22"/>
    </w:rPr>
  </w:style>
  <w:style w:type="paragraph" w:customStyle="1" w:styleId="Absatzberschrift">
    <w:name w:val="Absatz Überschrift"/>
    <w:next w:val="AbsatzStandard"/>
    <w:pPr>
      <w:spacing w:before="120" w:after="60"/>
    </w:pPr>
    <w:rPr>
      <w:b/>
      <w:noProof/>
      <w:sz w:val="24"/>
      <w:u w:val="single"/>
    </w:rPr>
  </w:style>
  <w:style w:type="paragraph" w:customStyle="1" w:styleId="AbsatzAbstand">
    <w:name w:val="Absatz Abstand"/>
    <w:rPr>
      <w:noProof/>
      <w:sz w:val="12"/>
    </w:rPr>
  </w:style>
  <w:style w:type="paragraph" w:customStyle="1" w:styleId="AbsatzFusszeile2">
    <w:name w:val="Absatz Fusszeile 2"/>
    <w:pPr>
      <w:pBdr>
        <w:top w:val="single" w:sz="4" w:space="1" w:color="auto"/>
      </w:pBdr>
      <w:spacing w:before="20"/>
      <w:jc w:val="center"/>
    </w:pPr>
    <w:rPr>
      <w:rFonts w:ascii="Arial" w:hAnsi="Arial"/>
      <w:noProof/>
      <w:sz w:val="16"/>
    </w:rPr>
  </w:style>
  <w:style w:type="character" w:styleId="Kommentarzeichen">
    <w:name w:val="annotation reference"/>
    <w:semiHidden/>
    <w:rPr>
      <w:sz w:val="16"/>
    </w:rPr>
  </w:style>
  <w:style w:type="paragraph" w:customStyle="1" w:styleId="VariableRekursort">
    <w:name w:val="Variable Rekursort"/>
    <w:pPr>
      <w:spacing w:after="60"/>
      <w:ind w:left="2268" w:hanging="2268"/>
    </w:pPr>
    <w:rPr>
      <w:b/>
      <w:noProof/>
      <w:sz w:val="22"/>
    </w:rPr>
  </w:style>
  <w:style w:type="paragraph" w:customStyle="1" w:styleId="AbsatzFristenstillstand">
    <w:name w:val="Absatz Fristenstillstand"/>
    <w:pPr>
      <w:tabs>
        <w:tab w:val="left" w:pos="284"/>
      </w:tabs>
      <w:spacing w:after="60"/>
    </w:pPr>
    <w:rPr>
      <w:noProof/>
      <w:sz w:val="22"/>
    </w:rPr>
  </w:style>
  <w:style w:type="paragraph" w:styleId="Kommentartext">
    <w:name w:val="annotation text"/>
    <w:basedOn w:val="Standard"/>
    <w:semiHidden/>
    <w:rPr>
      <w:sz w:val="20"/>
    </w:rPr>
  </w:style>
  <w:style w:type="paragraph" w:customStyle="1" w:styleId="Minizeile">
    <w:name w:val="Minizeile"/>
    <w:pPr>
      <w:keepNext/>
      <w:keepLines/>
    </w:pPr>
    <w:rPr>
      <w:noProof/>
      <w:sz w:val="12"/>
    </w:rPr>
  </w:style>
  <w:style w:type="paragraph" w:customStyle="1" w:styleId="Visum">
    <w:name w:val="Visum"/>
    <w:autoRedefine/>
    <w:pPr>
      <w:keepNext/>
      <w:keepLines/>
    </w:pPr>
    <w:rPr>
      <w:noProof/>
      <w:sz w:val="22"/>
    </w:rPr>
  </w:style>
  <w:style w:type="paragraph" w:styleId="Textkrper">
    <w:name w:val="Body Text"/>
    <w:basedOn w:val="Standard"/>
    <w:rPr>
      <w:rFonts w:ascii="Arial" w:hAnsi="Arial"/>
      <w:sz w:val="20"/>
    </w:rPr>
  </w:style>
  <w:style w:type="paragraph" w:styleId="Listenabsatz">
    <w:name w:val="List Paragraph"/>
    <w:basedOn w:val="Standard"/>
    <w:uiPriority w:val="34"/>
    <w:qFormat/>
    <w:pPr>
      <w:spacing w:after="200" w:line="276" w:lineRule="auto"/>
      <w:ind w:left="720"/>
      <w:contextualSpacing/>
    </w:pPr>
    <w:rPr>
      <w:rFonts w:ascii="Calibri" w:hAnsi="Calibri"/>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3749</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Beiblatt zu Arztbericht</vt:lpstr>
    </vt:vector>
  </TitlesOfParts>
  <Manager>Formulargruppe</Manager>
  <Company>IV-Stelle Basel-Stadt</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Beiblatt zu Arztbericht</dc:title>
  <dc:subject>OSIV-Projekt</dc:subject>
  <dc:creator>René Howald</dc:creator>
  <cp:lastModifiedBy>Radic Mihajel</cp:lastModifiedBy>
  <cp:revision>2</cp:revision>
  <cp:lastPrinted>1997-10-07T08:21:00Z</cp:lastPrinted>
  <dcterms:created xsi:type="dcterms:W3CDTF">2024-09-02T11:56:00Z</dcterms:created>
  <dcterms:modified xsi:type="dcterms:W3CDTF">2024-09-02T11:56:00Z</dcterms:modified>
</cp:coreProperties>
</file>